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tblInd w:w="-572" w:type="dxa"/>
        <w:tblLook w:val="04A0" w:firstRow="1" w:lastRow="0" w:firstColumn="1" w:lastColumn="0" w:noHBand="0" w:noVBand="1"/>
      </w:tblPr>
      <w:tblGrid>
        <w:gridCol w:w="1560"/>
        <w:gridCol w:w="8505"/>
      </w:tblGrid>
      <w:tr w:rsidR="0046607B" w14:paraId="37C6A203" w14:textId="77777777" w:rsidTr="30D9C7BE">
        <w:tc>
          <w:tcPr>
            <w:tcW w:w="1560" w:type="dxa"/>
            <w:vAlign w:val="center"/>
          </w:tcPr>
          <w:p w14:paraId="0D5A35A8" w14:textId="5C576F1F" w:rsidR="0046607B" w:rsidRPr="009404C2" w:rsidRDefault="0046607B" w:rsidP="009404C2">
            <w:pPr>
              <w:jc w:val="center"/>
              <w:rPr>
                <w:b/>
                <w:bCs/>
              </w:rPr>
            </w:pPr>
            <w:bookmarkStart w:id="0" w:name="_Hlk164940051"/>
            <w:r w:rsidRPr="009404C2">
              <w:rPr>
                <w:b/>
                <w:bCs/>
              </w:rPr>
              <w:t>Axe</w:t>
            </w:r>
            <w:r w:rsidR="00B019D6">
              <w:rPr>
                <w:b/>
                <w:bCs/>
              </w:rPr>
              <w:t xml:space="preserve"> 2</w:t>
            </w:r>
          </w:p>
        </w:tc>
        <w:tc>
          <w:tcPr>
            <w:tcW w:w="8505" w:type="dxa"/>
          </w:tcPr>
          <w:p w14:paraId="58C92614" w14:textId="7EE1C751" w:rsidR="0046607B" w:rsidRPr="001633EB" w:rsidRDefault="00B019D6" w:rsidP="003B0797">
            <w:pPr>
              <w:autoSpaceDE w:val="0"/>
              <w:autoSpaceDN w:val="0"/>
              <w:adjustRightInd w:val="0"/>
              <w:jc w:val="center"/>
              <w:rPr>
                <w:rFonts w:cs="CIDFont+F3"/>
                <w:b/>
                <w:bCs/>
                <w:color w:val="009239"/>
                <w:kern w:val="0"/>
                <w:sz w:val="24"/>
                <w:szCs w:val="24"/>
              </w:rPr>
            </w:pPr>
            <w:r w:rsidRPr="001633EB">
              <w:rPr>
                <w:rFonts w:cs="CIDFont+F3"/>
                <w:b/>
                <w:bCs/>
                <w:kern w:val="0"/>
              </w:rPr>
              <w:t>Leviers économiques et accompagnement des apiculteurs</w:t>
            </w:r>
          </w:p>
        </w:tc>
      </w:tr>
      <w:tr w:rsidR="0046607B" w14:paraId="3E974957" w14:textId="77777777" w:rsidTr="30D9C7BE">
        <w:trPr>
          <w:trHeight w:val="660"/>
        </w:trPr>
        <w:tc>
          <w:tcPr>
            <w:tcW w:w="1560" w:type="dxa"/>
            <w:vAlign w:val="center"/>
          </w:tcPr>
          <w:p w14:paraId="5A421146" w14:textId="046BA02B" w:rsidR="0046607B" w:rsidRPr="009404C2" w:rsidRDefault="0046607B" w:rsidP="009404C2">
            <w:pPr>
              <w:jc w:val="center"/>
              <w:rPr>
                <w:b/>
                <w:bCs/>
              </w:rPr>
            </w:pPr>
            <w:r w:rsidRPr="009404C2">
              <w:rPr>
                <w:b/>
                <w:bCs/>
              </w:rPr>
              <w:t>Action</w:t>
            </w:r>
            <w:r w:rsidR="00B019D6">
              <w:rPr>
                <w:b/>
                <w:bCs/>
              </w:rPr>
              <w:t xml:space="preserve"> 1</w:t>
            </w:r>
          </w:p>
        </w:tc>
        <w:tc>
          <w:tcPr>
            <w:tcW w:w="8505" w:type="dxa"/>
            <w:vAlign w:val="center"/>
          </w:tcPr>
          <w:p w14:paraId="6E699201" w14:textId="4A3456D1" w:rsidR="0046607B" w:rsidRPr="001633EB" w:rsidRDefault="00B019D6" w:rsidP="0052769E">
            <w:pPr>
              <w:autoSpaceDE w:val="0"/>
              <w:autoSpaceDN w:val="0"/>
              <w:adjustRightInd w:val="0"/>
              <w:jc w:val="center"/>
              <w:rPr>
                <w:rFonts w:cs="CIDFont+F2"/>
                <w:b/>
                <w:bCs/>
                <w:kern w:val="0"/>
              </w:rPr>
            </w:pPr>
            <w:r w:rsidRPr="001633EB">
              <w:rPr>
                <w:rFonts w:cs="CIDFont+F2"/>
                <w:b/>
                <w:bCs/>
                <w:kern w:val="0"/>
              </w:rPr>
              <w:t>Défini</w:t>
            </w:r>
            <w:r w:rsidR="003B0797" w:rsidRPr="001633EB">
              <w:rPr>
                <w:rFonts w:cs="CIDFont+F2"/>
                <w:b/>
                <w:bCs/>
                <w:kern w:val="0"/>
              </w:rPr>
              <w:t xml:space="preserve">r </w:t>
            </w:r>
            <w:r w:rsidR="00447862" w:rsidRPr="001633EB">
              <w:rPr>
                <w:rFonts w:cs="CIDFont+F2"/>
                <w:b/>
                <w:bCs/>
                <w:kern w:val="0"/>
              </w:rPr>
              <w:t xml:space="preserve">l’activité d’apiculture, </w:t>
            </w:r>
            <w:r w:rsidR="009D1D9F">
              <w:rPr>
                <w:rFonts w:cs="CIDFont+F2"/>
                <w:b/>
                <w:bCs/>
                <w:kern w:val="0"/>
              </w:rPr>
              <w:t xml:space="preserve">clarifier </w:t>
            </w:r>
            <w:r w:rsidR="003B0797" w:rsidRPr="001633EB">
              <w:rPr>
                <w:rFonts w:cs="CIDFont+F2"/>
                <w:b/>
                <w:bCs/>
                <w:kern w:val="0"/>
              </w:rPr>
              <w:t xml:space="preserve">les </w:t>
            </w:r>
            <w:r w:rsidRPr="001633EB">
              <w:rPr>
                <w:rFonts w:cs="CIDFont+F2"/>
                <w:b/>
                <w:bCs/>
                <w:kern w:val="0"/>
              </w:rPr>
              <w:t xml:space="preserve">notions de seuils d’accès </w:t>
            </w:r>
            <w:r>
              <w:br/>
            </w:r>
            <w:r w:rsidRPr="001633EB">
              <w:rPr>
                <w:rFonts w:cs="CIDFont+F2"/>
                <w:b/>
                <w:bCs/>
                <w:kern w:val="0"/>
              </w:rPr>
              <w:t xml:space="preserve">aux dispositifs </w:t>
            </w:r>
            <w:r w:rsidR="003B0797" w:rsidRPr="001633EB">
              <w:rPr>
                <w:rFonts w:cs="CIDFont+F2"/>
                <w:b/>
                <w:bCs/>
                <w:kern w:val="0"/>
              </w:rPr>
              <w:t xml:space="preserve">financiers et techniques </w:t>
            </w:r>
            <w:r>
              <w:br/>
            </w:r>
            <w:r w:rsidR="000C764F" w:rsidRPr="001633EB">
              <w:rPr>
                <w:rFonts w:cs="CIDFont+F2"/>
                <w:b/>
                <w:bCs/>
                <w:kern w:val="0"/>
              </w:rPr>
              <w:t xml:space="preserve">et </w:t>
            </w:r>
            <w:r w:rsidR="003B0797" w:rsidRPr="001633EB">
              <w:rPr>
                <w:rFonts w:cs="CIDFont+F2"/>
                <w:b/>
                <w:bCs/>
                <w:kern w:val="0"/>
              </w:rPr>
              <w:t>tenir à jour un état</w:t>
            </w:r>
            <w:r w:rsidR="000C764F" w:rsidRPr="001633EB">
              <w:rPr>
                <w:rFonts w:cs="CIDFont+F2"/>
                <w:b/>
                <w:bCs/>
                <w:kern w:val="0"/>
              </w:rPr>
              <w:t xml:space="preserve"> des lieux de l’apiculture en Grand Est</w:t>
            </w:r>
          </w:p>
          <w:p w14:paraId="339D8F82" w14:textId="02C2CE6B" w:rsidR="0052769E" w:rsidRPr="0052769E" w:rsidRDefault="0052769E" w:rsidP="006E0A08">
            <w:pPr>
              <w:autoSpaceDE w:val="0"/>
              <w:autoSpaceDN w:val="0"/>
              <w:adjustRightInd w:val="0"/>
              <w:jc w:val="center"/>
              <w:rPr>
                <w:rFonts w:ascii="CIDFont+F2" w:hAnsi="CIDFont+F2" w:cs="CIDFont+F2"/>
                <w:kern w:val="0"/>
              </w:rPr>
            </w:pPr>
            <w:r w:rsidRPr="001633EB">
              <w:rPr>
                <w:rFonts w:cs="CIDFont+F2"/>
                <w:kern w:val="0"/>
              </w:rPr>
              <w:t>- Rédacteur ADAGE -</w:t>
            </w:r>
          </w:p>
        </w:tc>
      </w:tr>
      <w:tr w:rsidR="0046607B" w14:paraId="29833F62" w14:textId="77777777" w:rsidTr="30D9C7BE">
        <w:trPr>
          <w:trHeight w:val="330"/>
        </w:trPr>
        <w:tc>
          <w:tcPr>
            <w:tcW w:w="1560" w:type="dxa"/>
            <w:vAlign w:val="center"/>
          </w:tcPr>
          <w:p w14:paraId="4CE563A6" w14:textId="77777777" w:rsidR="0046607B" w:rsidRPr="009404C2" w:rsidRDefault="0046607B" w:rsidP="009404C2">
            <w:pPr>
              <w:jc w:val="center"/>
              <w:rPr>
                <w:b/>
                <w:bCs/>
              </w:rPr>
            </w:pPr>
            <w:r w:rsidRPr="009404C2">
              <w:rPr>
                <w:b/>
                <w:bCs/>
              </w:rPr>
              <w:t>Priorité</w:t>
            </w:r>
          </w:p>
        </w:tc>
        <w:tc>
          <w:tcPr>
            <w:tcW w:w="8505" w:type="dxa"/>
            <w:vAlign w:val="center"/>
          </w:tcPr>
          <w:p w14:paraId="172CB75E" w14:textId="7D23F724" w:rsidR="0046607B" w:rsidRDefault="003B0797" w:rsidP="001633EB">
            <w:r>
              <w:t>1</w:t>
            </w:r>
          </w:p>
        </w:tc>
      </w:tr>
      <w:tr w:rsidR="0046607B" w14:paraId="2D98E5EA" w14:textId="77777777" w:rsidTr="30D9C7BE">
        <w:trPr>
          <w:trHeight w:val="1188"/>
        </w:trPr>
        <w:tc>
          <w:tcPr>
            <w:tcW w:w="1560" w:type="dxa"/>
            <w:vAlign w:val="center"/>
          </w:tcPr>
          <w:p w14:paraId="6920D17E" w14:textId="77777777" w:rsidR="0046607B" w:rsidRPr="009404C2" w:rsidRDefault="0046607B" w:rsidP="009404C2">
            <w:pPr>
              <w:jc w:val="center"/>
              <w:rPr>
                <w:b/>
                <w:bCs/>
              </w:rPr>
            </w:pPr>
            <w:r w:rsidRPr="009404C2">
              <w:rPr>
                <w:b/>
                <w:bCs/>
              </w:rPr>
              <w:t>Objectifs</w:t>
            </w:r>
          </w:p>
        </w:tc>
        <w:tc>
          <w:tcPr>
            <w:tcW w:w="8505" w:type="dxa"/>
            <w:vAlign w:val="center"/>
          </w:tcPr>
          <w:p w14:paraId="4523326C" w14:textId="7E77CC0E" w:rsidR="00E5725C" w:rsidRPr="001633EB" w:rsidRDefault="009D0232" w:rsidP="001633EB">
            <w:pPr>
              <w:pStyle w:val="Paragraphedeliste"/>
              <w:numPr>
                <w:ilvl w:val="0"/>
                <w:numId w:val="14"/>
              </w:numPr>
              <w:jc w:val="both"/>
              <w:rPr>
                <w:b/>
                <w:bCs/>
              </w:rPr>
            </w:pPr>
            <w:r w:rsidRPr="001633EB">
              <w:rPr>
                <w:b/>
                <w:bCs/>
              </w:rPr>
              <w:t>Identifier et faire</w:t>
            </w:r>
            <w:r w:rsidR="00E5725C" w:rsidRPr="001633EB">
              <w:rPr>
                <w:b/>
                <w:bCs/>
              </w:rPr>
              <w:t xml:space="preserve"> connaître le rôle des différents acteurs de l’api</w:t>
            </w:r>
            <w:r w:rsidRPr="001633EB">
              <w:rPr>
                <w:b/>
                <w:bCs/>
              </w:rPr>
              <w:t>culture en Grand Est.</w:t>
            </w:r>
          </w:p>
          <w:p w14:paraId="1E48B164" w14:textId="772B2348" w:rsidR="009D0232" w:rsidRPr="001633EB" w:rsidRDefault="009D0232" w:rsidP="001633EB">
            <w:pPr>
              <w:pStyle w:val="Paragraphedeliste"/>
              <w:numPr>
                <w:ilvl w:val="0"/>
                <w:numId w:val="11"/>
              </w:numPr>
              <w:jc w:val="both"/>
              <w:rPr>
                <w:b/>
                <w:bCs/>
              </w:rPr>
            </w:pPr>
            <w:r w:rsidRPr="001633EB">
              <w:rPr>
                <w:b/>
                <w:bCs/>
              </w:rPr>
              <w:t xml:space="preserve">Coordonner </w:t>
            </w:r>
            <w:r w:rsidR="000B41E5">
              <w:rPr>
                <w:b/>
                <w:bCs/>
              </w:rPr>
              <w:t xml:space="preserve">l’ensemble des </w:t>
            </w:r>
            <w:r w:rsidR="00B72C05" w:rsidRPr="001633EB">
              <w:rPr>
                <w:b/>
                <w:bCs/>
              </w:rPr>
              <w:t xml:space="preserve">acteurs pour orienter les publics </w:t>
            </w:r>
            <w:r w:rsidR="000B41E5">
              <w:rPr>
                <w:b/>
                <w:bCs/>
              </w:rPr>
              <w:t xml:space="preserve">intéressés </w:t>
            </w:r>
            <w:r w:rsidR="00B72C05" w:rsidRPr="001633EB">
              <w:rPr>
                <w:b/>
                <w:bCs/>
              </w:rPr>
              <w:t>vers les organismes compétents.</w:t>
            </w:r>
          </w:p>
          <w:p w14:paraId="60DA310F" w14:textId="33EB58DE" w:rsidR="008F2676" w:rsidRDefault="00EC7635" w:rsidP="001633EB">
            <w:pPr>
              <w:pStyle w:val="Paragraphedeliste"/>
              <w:numPr>
                <w:ilvl w:val="0"/>
                <w:numId w:val="11"/>
              </w:numPr>
              <w:jc w:val="both"/>
            </w:pPr>
            <w:r w:rsidRPr="001633EB">
              <w:rPr>
                <w:b/>
                <w:bCs/>
              </w:rPr>
              <w:t xml:space="preserve">Réaliser un état des lieux de l’existant </w:t>
            </w:r>
            <w:r w:rsidR="004C4231" w:rsidRPr="001633EB">
              <w:rPr>
                <w:b/>
                <w:bCs/>
              </w:rPr>
              <w:t>sur l’apiculture régionale.</w:t>
            </w:r>
          </w:p>
        </w:tc>
      </w:tr>
      <w:tr w:rsidR="0046607B" w14:paraId="6493FA08" w14:textId="77777777" w:rsidTr="30D9C7BE">
        <w:tc>
          <w:tcPr>
            <w:tcW w:w="1560" w:type="dxa"/>
            <w:vAlign w:val="center"/>
          </w:tcPr>
          <w:p w14:paraId="5DB91733" w14:textId="77777777" w:rsidR="0046607B" w:rsidRPr="009404C2" w:rsidRDefault="0046607B" w:rsidP="009404C2">
            <w:pPr>
              <w:jc w:val="center"/>
              <w:rPr>
                <w:b/>
                <w:bCs/>
              </w:rPr>
            </w:pPr>
            <w:r w:rsidRPr="009404C2">
              <w:rPr>
                <w:b/>
                <w:bCs/>
              </w:rPr>
              <w:t>Calendrier</w:t>
            </w:r>
          </w:p>
        </w:tc>
        <w:tc>
          <w:tcPr>
            <w:tcW w:w="8505" w:type="dxa"/>
          </w:tcPr>
          <w:p w14:paraId="669F01DF" w14:textId="55F57ED3" w:rsidR="0046607B" w:rsidRDefault="009D1D9F" w:rsidP="00906905">
            <w:r>
              <w:t>2024</w:t>
            </w:r>
            <w:r w:rsidR="00430FE5">
              <w:t xml:space="preserve"> : </w:t>
            </w:r>
            <w:r w:rsidR="00B41149">
              <w:t>mise à disposition des informations existantes</w:t>
            </w:r>
          </w:p>
          <w:p w14:paraId="20BBED86" w14:textId="5E163095" w:rsidR="009404C2" w:rsidRDefault="00430FE5" w:rsidP="00906905">
            <w:r>
              <w:t>Janvier 2025 : mise à disposition des documents en cours de rédaction</w:t>
            </w:r>
          </w:p>
        </w:tc>
      </w:tr>
      <w:tr w:rsidR="0046607B" w14:paraId="0FE7E4B4" w14:textId="77777777" w:rsidTr="30D9C7BE">
        <w:tc>
          <w:tcPr>
            <w:tcW w:w="1560" w:type="dxa"/>
            <w:vAlign w:val="center"/>
          </w:tcPr>
          <w:p w14:paraId="1BEBE245" w14:textId="77777777" w:rsidR="0046607B" w:rsidRPr="009404C2" w:rsidRDefault="0046607B" w:rsidP="009404C2">
            <w:pPr>
              <w:jc w:val="center"/>
              <w:rPr>
                <w:b/>
                <w:bCs/>
              </w:rPr>
            </w:pPr>
            <w:r w:rsidRPr="009404C2">
              <w:rPr>
                <w:b/>
                <w:bCs/>
              </w:rPr>
              <w:t>Contexte</w:t>
            </w:r>
          </w:p>
        </w:tc>
        <w:tc>
          <w:tcPr>
            <w:tcW w:w="8505" w:type="dxa"/>
          </w:tcPr>
          <w:p w14:paraId="3ACFEAF3" w14:textId="2D414D5E" w:rsidR="00360B50" w:rsidRDefault="631F6EF0" w:rsidP="006C7255">
            <w:pPr>
              <w:jc w:val="both"/>
            </w:pPr>
            <w:r>
              <w:t>Le nombre d’apiculteurs en Grand Est a considérablement augmenté sur les vingt dernières années (</w:t>
            </w:r>
            <w:r w:rsidRPr="631F6EF0">
              <w:rPr>
                <w:b/>
                <w:bCs/>
              </w:rPr>
              <w:t>source</w:t>
            </w:r>
            <w:r w:rsidR="001633EB">
              <w:rPr>
                <w:b/>
                <w:bCs/>
              </w:rPr>
              <w:t xml:space="preserve"> : </w:t>
            </w:r>
            <w:r w:rsidRPr="631F6EF0">
              <w:rPr>
                <w:b/>
                <w:bCs/>
              </w:rPr>
              <w:t>DGAL</w:t>
            </w:r>
            <w:r w:rsidR="001633EB">
              <w:rPr>
                <w:b/>
                <w:bCs/>
              </w:rPr>
              <w:t>,</w:t>
            </w:r>
            <w:r w:rsidRPr="631F6EF0">
              <w:rPr>
                <w:b/>
                <w:bCs/>
              </w:rPr>
              <w:t xml:space="preserve"> déclaration des ruches annuelle)</w:t>
            </w:r>
            <w:r>
              <w:t xml:space="preserve">. Pour autant, le contexte économique dans cette filière est devenu défavorable au cours du temps en raison de la concurrence mondiale et des difficultés sanitaires </w:t>
            </w:r>
            <w:r w:rsidR="000B41E5">
              <w:t>et climatiques</w:t>
            </w:r>
            <w:r>
              <w:t xml:space="preserve">. </w:t>
            </w:r>
          </w:p>
          <w:p w14:paraId="2CAB7754" w14:textId="77777777" w:rsidR="003F1202" w:rsidRDefault="003F1202" w:rsidP="006C7255">
            <w:pPr>
              <w:jc w:val="both"/>
              <w:rPr>
                <w:bCs/>
              </w:rPr>
            </w:pPr>
          </w:p>
          <w:p w14:paraId="2B5CC047" w14:textId="35262A8C" w:rsidR="003F1202" w:rsidRDefault="002D45DE" w:rsidP="006C7255">
            <w:pPr>
              <w:jc w:val="both"/>
              <w:rPr>
                <w:bCs/>
              </w:rPr>
            </w:pPr>
            <w:r>
              <w:rPr>
                <w:bCs/>
              </w:rPr>
              <w:t>Les acteurs impliqués dans l’apiculture sont nombreux et divers (</w:t>
            </w:r>
            <w:r w:rsidR="00CC2A18">
              <w:rPr>
                <w:bCs/>
              </w:rPr>
              <w:t>amateurs et professionnels</w:t>
            </w:r>
            <w:r w:rsidR="00504D84">
              <w:rPr>
                <w:bCs/>
              </w:rPr>
              <w:t>, doubles actifs ou non</w:t>
            </w:r>
            <w:r w:rsidR="00CC2A18">
              <w:rPr>
                <w:bCs/>
              </w:rPr>
              <w:t>)</w:t>
            </w:r>
            <w:r w:rsidR="00CA7748">
              <w:rPr>
                <w:bCs/>
              </w:rPr>
              <w:t>.</w:t>
            </w:r>
            <w:r w:rsidR="008B2601">
              <w:rPr>
                <w:bCs/>
              </w:rPr>
              <w:t xml:space="preserve"> </w:t>
            </w:r>
            <w:r w:rsidR="00EB664A">
              <w:rPr>
                <w:bCs/>
              </w:rPr>
              <w:t xml:space="preserve">Le domaine de spécialité de chacun </w:t>
            </w:r>
            <w:r w:rsidR="00CB74CB">
              <w:rPr>
                <w:bCs/>
              </w:rPr>
              <w:t xml:space="preserve">est </w:t>
            </w:r>
            <w:r w:rsidR="00207F4D">
              <w:rPr>
                <w:bCs/>
              </w:rPr>
              <w:t xml:space="preserve">bien </w:t>
            </w:r>
            <w:r w:rsidR="00CB74CB">
              <w:rPr>
                <w:bCs/>
              </w:rPr>
              <w:t xml:space="preserve">défini (sanitaire, production, </w:t>
            </w:r>
            <w:r w:rsidR="008F6D62">
              <w:rPr>
                <w:bCs/>
              </w:rPr>
              <w:t>filières, conseils techniques et administratifs)</w:t>
            </w:r>
            <w:r w:rsidR="008370C0">
              <w:rPr>
                <w:bCs/>
              </w:rPr>
              <w:t xml:space="preserve"> m</w:t>
            </w:r>
            <w:r w:rsidR="008B2601">
              <w:rPr>
                <w:bCs/>
              </w:rPr>
              <w:t xml:space="preserve">ais la coordination entre ces derniers </w:t>
            </w:r>
            <w:r w:rsidR="008370C0">
              <w:rPr>
                <w:bCs/>
              </w:rPr>
              <w:t xml:space="preserve">est </w:t>
            </w:r>
            <w:r w:rsidR="008B2601">
              <w:rPr>
                <w:bCs/>
              </w:rPr>
              <w:t>complexe et leur complémentarité est souvent peu connue du public</w:t>
            </w:r>
            <w:r w:rsidR="008370C0">
              <w:rPr>
                <w:bCs/>
              </w:rPr>
              <w:t>.</w:t>
            </w:r>
          </w:p>
          <w:p w14:paraId="530EF5B5" w14:textId="77777777" w:rsidR="005A6E9A" w:rsidRDefault="005A6E9A" w:rsidP="006C7255">
            <w:pPr>
              <w:jc w:val="both"/>
              <w:rPr>
                <w:bCs/>
              </w:rPr>
            </w:pPr>
          </w:p>
          <w:p w14:paraId="289E4D6A" w14:textId="2A40CF59" w:rsidR="004C4231" w:rsidRDefault="30D9C7BE" w:rsidP="00360B50">
            <w:pPr>
              <w:jc w:val="both"/>
            </w:pPr>
            <w:r>
              <w:t>Pour son activité, un apiculteur professionnel a accès aux mêmes dispositifs d’accompagnement qu’un agriculteur. L’agriculture est dotée de règles particulières : elle relève socialement du régime de la Mutualité Sociale Agricole (MSA), fiscalement du régime des bénéfices agricoles et juridiquement, l'activité est de nature civile (ni commerciale, ni industrielle, ni artisanale). Elle peut être exercée en société sous des formes qui lui sont propres (EARL, GAEC…) et elle est régie par un code particulier, le Code rural. Cependant, ces différents dispositifs ainsi que les organismes d’accompagnement ne sont pas assez connus par l’ensemble des apiculteurs à l’échelle du Grand Est, impliquant un besoin de coordination et d’information.</w:t>
            </w:r>
          </w:p>
          <w:p w14:paraId="69ADC184" w14:textId="77777777" w:rsidR="00FC720A" w:rsidRDefault="00FC720A" w:rsidP="00360B50">
            <w:pPr>
              <w:jc w:val="both"/>
              <w:rPr>
                <w:bCs/>
              </w:rPr>
            </w:pPr>
          </w:p>
          <w:p w14:paraId="435430FB" w14:textId="5C1EA235" w:rsidR="00FC720A" w:rsidRPr="00B56E2F" w:rsidRDefault="002336A7" w:rsidP="00360B50">
            <w:pPr>
              <w:jc w:val="both"/>
              <w:rPr>
                <w:bCs/>
              </w:rPr>
            </w:pPr>
            <w:r w:rsidRPr="002336A7">
              <w:rPr>
                <w:bCs/>
              </w:rPr>
              <w:t>Le Grand Est n’a pas de spécificité qui ne s’alignerait pas avec les définitions nationales</w:t>
            </w:r>
            <w:r>
              <w:rPr>
                <w:bCs/>
              </w:rPr>
              <w:t xml:space="preserve"> aux yeux des acteurs de l’apiculture en Grand Est</w:t>
            </w:r>
            <w:r w:rsidRPr="002336A7">
              <w:rPr>
                <w:bCs/>
              </w:rPr>
              <w:t>.</w:t>
            </w:r>
            <w:r>
              <w:rPr>
                <w:bCs/>
              </w:rPr>
              <w:t xml:space="preserve"> </w:t>
            </w:r>
            <w:r w:rsidR="00AE3201">
              <w:rPr>
                <w:bCs/>
              </w:rPr>
              <w:t>Ainsi, cet axe et les actions qui le composent ne nécessitent pas d’actions complémentaires au PNA</w:t>
            </w:r>
            <w:r w:rsidR="00BA37C0">
              <w:rPr>
                <w:bCs/>
              </w:rPr>
              <w:t>.</w:t>
            </w:r>
          </w:p>
        </w:tc>
      </w:tr>
      <w:tr w:rsidR="0046607B" w14:paraId="2C672376" w14:textId="77777777" w:rsidTr="30D9C7BE">
        <w:tc>
          <w:tcPr>
            <w:tcW w:w="1560" w:type="dxa"/>
            <w:vAlign w:val="center"/>
          </w:tcPr>
          <w:p w14:paraId="4E3D86DC" w14:textId="77777777" w:rsidR="0046607B" w:rsidRPr="009404C2" w:rsidRDefault="0046607B" w:rsidP="009404C2">
            <w:pPr>
              <w:jc w:val="center"/>
              <w:rPr>
                <w:b/>
                <w:bCs/>
              </w:rPr>
            </w:pPr>
            <w:r w:rsidRPr="009404C2">
              <w:rPr>
                <w:b/>
                <w:bCs/>
              </w:rPr>
              <w:t>Description</w:t>
            </w:r>
          </w:p>
        </w:tc>
        <w:tc>
          <w:tcPr>
            <w:tcW w:w="8505" w:type="dxa"/>
            <w:shd w:val="clear" w:color="auto" w:fill="FFFFFF" w:themeFill="background1"/>
          </w:tcPr>
          <w:p w14:paraId="35E141F7" w14:textId="23F7E8C9" w:rsidR="000E3EC0" w:rsidRDefault="000E3EC0" w:rsidP="000E3EC0">
            <w:pPr>
              <w:jc w:val="both"/>
            </w:pPr>
            <w:r>
              <w:t>En 2024, l</w:t>
            </w:r>
            <w:r w:rsidR="00D95013">
              <w:t>’encadrement professionnel réglementaire et technique est comme suit :</w:t>
            </w:r>
          </w:p>
          <w:p w14:paraId="2ACBC75E" w14:textId="172BE5DA" w:rsidR="00D4667D" w:rsidRDefault="30D9C7BE" w:rsidP="00D95013">
            <w:pPr>
              <w:pStyle w:val="Paragraphedeliste"/>
              <w:numPr>
                <w:ilvl w:val="0"/>
                <w:numId w:val="12"/>
              </w:numPr>
              <w:jc w:val="both"/>
            </w:pPr>
            <w:r w:rsidRPr="30D9C7BE">
              <w:rPr>
                <w:b/>
                <w:bCs/>
              </w:rPr>
              <w:t>Le statut social :</w:t>
            </w:r>
            <w:r>
              <w:t xml:space="preserve"> Plusieurs cas sont possibles en fonction du nombre de ruches exploitées et/ou du nombre d’heures de travail réalisées sur l’activité agricole.</w:t>
            </w:r>
          </w:p>
          <w:p w14:paraId="03FD3144" w14:textId="77777777" w:rsidR="00D4667D" w:rsidRPr="00D95013" w:rsidRDefault="00D4667D" w:rsidP="00D95013">
            <w:pPr>
              <w:pStyle w:val="Paragraphedeliste"/>
              <w:widowControl w:val="0"/>
              <w:numPr>
                <w:ilvl w:val="0"/>
                <w:numId w:val="12"/>
              </w:numPr>
              <w:pBdr>
                <w:top w:val="nil"/>
                <w:left w:val="nil"/>
                <w:bottom w:val="nil"/>
                <w:right w:val="nil"/>
                <w:between w:val="nil"/>
              </w:pBdr>
              <w:rPr>
                <w:b/>
                <w:bCs/>
              </w:rPr>
            </w:pPr>
            <w:r w:rsidRPr="00D95013">
              <w:rPr>
                <w:b/>
                <w:bCs/>
              </w:rPr>
              <w:t xml:space="preserve">Les principaux seuils : </w:t>
            </w:r>
          </w:p>
          <w:p w14:paraId="5A6AC972" w14:textId="77777777" w:rsidR="00D4667D" w:rsidRDefault="30D9C7BE" w:rsidP="30D9C7BE">
            <w:pPr>
              <w:pStyle w:val="Paragraphedeliste"/>
              <w:widowControl w:val="0"/>
              <w:numPr>
                <w:ilvl w:val="0"/>
                <w:numId w:val="13"/>
              </w:numPr>
              <w:pBdr>
                <w:top w:val="nil"/>
                <w:left w:val="nil"/>
                <w:bottom w:val="nil"/>
                <w:right w:val="nil"/>
                <w:between w:val="nil"/>
              </w:pBdr>
              <w:jc w:val="both"/>
            </w:pPr>
            <w:r>
              <w:t xml:space="preserve">Seuil de cotisant solidaire : à partir de ¼ de l’AMA, soit 50 ruches. </w:t>
            </w:r>
          </w:p>
          <w:p w14:paraId="7011F2FB" w14:textId="48346906" w:rsidR="009404C2" w:rsidRDefault="30D9C7BE" w:rsidP="30D9C7BE">
            <w:pPr>
              <w:pStyle w:val="Paragraphedeliste"/>
              <w:widowControl w:val="0"/>
              <w:numPr>
                <w:ilvl w:val="0"/>
                <w:numId w:val="13"/>
              </w:numPr>
              <w:pBdr>
                <w:top w:val="nil"/>
                <w:left w:val="nil"/>
                <w:bottom w:val="nil"/>
                <w:right w:val="nil"/>
                <w:between w:val="nil"/>
              </w:pBdr>
              <w:jc w:val="both"/>
            </w:pPr>
            <w:r>
              <w:t>Seuil pour être exploitant apicole : à partir de l’AMA, soit 200 ruches ou plus de 1 200 heures de travail dédiées par an à l’activité apicole (voir détail ci-dessous).</w:t>
            </w:r>
          </w:p>
          <w:p w14:paraId="323A0CF3" w14:textId="77777777" w:rsidR="00D4667D" w:rsidRDefault="00D4667D" w:rsidP="00D4667D">
            <w:pPr>
              <w:widowControl w:val="0"/>
              <w:pBdr>
                <w:top w:val="nil"/>
                <w:left w:val="nil"/>
                <w:bottom w:val="nil"/>
                <w:right w:val="nil"/>
                <w:between w:val="nil"/>
              </w:pBdr>
            </w:pPr>
          </w:p>
          <w:p w14:paraId="39DF34D5" w14:textId="77777777" w:rsidR="00D4667D" w:rsidRDefault="00D4667D" w:rsidP="00D95013">
            <w:pPr>
              <w:widowControl w:val="0"/>
              <w:pBdr>
                <w:top w:val="nil"/>
                <w:left w:val="nil"/>
                <w:bottom w:val="nil"/>
                <w:right w:val="nil"/>
                <w:between w:val="nil"/>
              </w:pBdr>
              <w:jc w:val="both"/>
            </w:pPr>
            <w:r w:rsidRPr="00207F4D">
              <w:rPr>
                <w:b/>
                <w:bCs/>
              </w:rPr>
              <w:t>L’apiculteur est affilié de droit à la MSA</w:t>
            </w:r>
            <w:r>
              <w:t xml:space="preserve"> en tant qu’exploitant agricole s’il remplit au moins un de ces 3 critères, il s’agit de l’AMA (Activité Minimale d’Assujettissement) :</w:t>
            </w:r>
          </w:p>
          <w:p w14:paraId="42FAAC84" w14:textId="58E5EFBF" w:rsidR="00D4667D" w:rsidRDefault="00D4667D" w:rsidP="00D95013">
            <w:pPr>
              <w:pStyle w:val="Paragraphedeliste"/>
              <w:widowControl w:val="0"/>
              <w:numPr>
                <w:ilvl w:val="0"/>
                <w:numId w:val="4"/>
              </w:numPr>
              <w:pBdr>
                <w:top w:val="nil"/>
                <w:left w:val="nil"/>
                <w:bottom w:val="nil"/>
                <w:right w:val="nil"/>
                <w:between w:val="nil"/>
              </w:pBdr>
              <w:jc w:val="both"/>
            </w:pPr>
            <w:r>
              <w:t>Posséder au moins 200 ruches (sauf en Corse, où ce seuil est de 125 ruches). Il s'agit de la SMA (Surface Minimum d’Assujettissement).</w:t>
            </w:r>
          </w:p>
          <w:p w14:paraId="25B91554" w14:textId="11741583" w:rsidR="00D4667D" w:rsidRDefault="00D4667D" w:rsidP="00D95013">
            <w:pPr>
              <w:pStyle w:val="Paragraphedeliste"/>
              <w:widowControl w:val="0"/>
              <w:numPr>
                <w:ilvl w:val="0"/>
                <w:numId w:val="4"/>
              </w:numPr>
              <w:pBdr>
                <w:top w:val="nil"/>
                <w:left w:val="nil"/>
                <w:bottom w:val="nil"/>
                <w:right w:val="nil"/>
                <w:between w:val="nil"/>
              </w:pBdr>
              <w:jc w:val="both"/>
            </w:pPr>
            <w:r>
              <w:t xml:space="preserve">Et/ou consacrer plus de 1 200 heures par an à la conduite de l’activité agricole (en incluant le temps consacré au conditionnement, à la transformation, à la commercialisation des produits de la ruche ainsi qu'aux activités d’agrotourisme développées sur l’exploitation agricole). </w:t>
            </w:r>
          </w:p>
          <w:p w14:paraId="20D60884" w14:textId="232C6293" w:rsidR="001613BC" w:rsidRDefault="30D9C7BE" w:rsidP="30D9C7BE">
            <w:pPr>
              <w:pStyle w:val="Paragraphedeliste"/>
              <w:widowControl w:val="0"/>
              <w:numPr>
                <w:ilvl w:val="0"/>
                <w:numId w:val="4"/>
              </w:numPr>
              <w:pBdr>
                <w:top w:val="nil"/>
                <w:left w:val="nil"/>
                <w:bottom w:val="nil"/>
                <w:right w:val="nil"/>
                <w:between w:val="nil"/>
              </w:pBdr>
              <w:jc w:val="both"/>
            </w:pPr>
            <w:r>
              <w:t xml:space="preserve">Et/ou dégager un revenu professionnel : le revenu considéré est le revenu fiscal </w:t>
            </w:r>
            <w:r>
              <w:lastRenderedPageBreak/>
              <w:t>annuel (forfait ou réel) de l’exploitation, soit en pratique en 2024 : 9 320 € brut par an.</w:t>
            </w:r>
          </w:p>
          <w:p w14:paraId="00F494D4" w14:textId="77777777" w:rsidR="003E5B32" w:rsidRDefault="003E5B32" w:rsidP="001613BC">
            <w:pPr>
              <w:widowControl w:val="0"/>
              <w:pBdr>
                <w:top w:val="nil"/>
                <w:left w:val="nil"/>
                <w:bottom w:val="nil"/>
                <w:right w:val="nil"/>
                <w:between w:val="nil"/>
              </w:pBdr>
              <w:jc w:val="both"/>
              <w:rPr>
                <w:b/>
                <w:bCs/>
              </w:rPr>
            </w:pPr>
          </w:p>
          <w:p w14:paraId="4521ADFB" w14:textId="3581D433" w:rsidR="009404C2" w:rsidRPr="002B6EA5" w:rsidRDefault="30D9C7BE" w:rsidP="30D9C7BE">
            <w:pPr>
              <w:widowControl w:val="0"/>
              <w:pBdr>
                <w:top w:val="nil"/>
                <w:left w:val="nil"/>
                <w:bottom w:val="nil"/>
                <w:right w:val="nil"/>
                <w:between w:val="nil"/>
              </w:pBdr>
              <w:jc w:val="both"/>
            </w:pPr>
            <w:r w:rsidRPr="30D9C7BE">
              <w:rPr>
                <w:b/>
                <w:bCs/>
              </w:rPr>
              <w:t>Voir annexes 2, 3 et 4 pour plus de détails.</w:t>
            </w:r>
          </w:p>
          <w:p w14:paraId="47B6A23E" w14:textId="77777777" w:rsidR="00430FE5" w:rsidRDefault="00430FE5" w:rsidP="009404C2">
            <w:pPr>
              <w:jc w:val="both"/>
            </w:pPr>
          </w:p>
          <w:p w14:paraId="2FCF7805" w14:textId="528476F2" w:rsidR="009404C2" w:rsidRDefault="004B4464" w:rsidP="009404C2">
            <w:pPr>
              <w:jc w:val="both"/>
              <w:rPr>
                <w:rStyle w:val="Lienhypertexte"/>
              </w:rPr>
            </w:pPr>
            <w:r>
              <w:t xml:space="preserve">Toutes les informations seront disponibles et à jour dans le guide d’installation à l’apiculture publié par ADA France avant décembre 2024. </w:t>
            </w:r>
            <w:r w:rsidR="003A0775">
              <w:t>Version antérieure</w:t>
            </w:r>
            <w:r>
              <w:t xml:space="preserve"> en cours de mise à jour : </w:t>
            </w:r>
            <w:hyperlink r:id="rId7" w:history="1">
              <w:r w:rsidRPr="00242420">
                <w:rPr>
                  <w:rStyle w:val="Lienhypertexte"/>
                </w:rPr>
                <w:t>https://www.adafrance.org/sinstaller-en-apiculture/</w:t>
              </w:r>
            </w:hyperlink>
            <w:r w:rsidR="00634A5A">
              <w:rPr>
                <w:rStyle w:val="Lienhypertexte"/>
              </w:rPr>
              <w:t>.</w:t>
            </w:r>
          </w:p>
          <w:p w14:paraId="68144E43" w14:textId="77777777" w:rsidR="00634A5A" w:rsidRDefault="00634A5A" w:rsidP="009404C2">
            <w:pPr>
              <w:jc w:val="both"/>
              <w:rPr>
                <w:rStyle w:val="Lienhypertexte"/>
              </w:rPr>
            </w:pPr>
          </w:p>
          <w:p w14:paraId="436CDE39" w14:textId="631DFAF8" w:rsidR="00634A5A" w:rsidRDefault="30D9C7BE" w:rsidP="009404C2">
            <w:pPr>
              <w:jc w:val="both"/>
            </w:pPr>
            <w:r>
              <w:t>Des informations concernant l’activité, les réglementations et l’installation des apiculteurs sont disponibles en DDT et auprès des Chambres d’Agriculture.</w:t>
            </w:r>
          </w:p>
          <w:p w14:paraId="2DEE525F" w14:textId="77777777" w:rsidR="009404C2" w:rsidRDefault="009404C2" w:rsidP="009404C2">
            <w:pPr>
              <w:jc w:val="both"/>
            </w:pPr>
          </w:p>
          <w:p w14:paraId="10E14029" w14:textId="5B31046E" w:rsidR="006C7255" w:rsidRPr="00944E5B" w:rsidRDefault="30D9C7BE" w:rsidP="631F6EF0">
            <w:pPr>
              <w:jc w:val="both"/>
            </w:pPr>
            <w:r>
              <w:t xml:space="preserve">L’apiculture en Grand Est en quelques chiffres : </w:t>
            </w:r>
            <w:hyperlink r:id="rId8">
              <w:r w:rsidRPr="30D9C7BE">
                <w:rPr>
                  <w:rStyle w:val="Lienhypertexte"/>
                </w:rPr>
                <w:t>https://www.ada-grand-est.org/apiculteur-grand-est/</w:t>
              </w:r>
            </w:hyperlink>
            <w:r>
              <w:t xml:space="preserve"> . </w:t>
            </w:r>
            <w:r w:rsidRPr="30D9C7BE">
              <w:rPr>
                <w:b/>
                <w:bCs/>
              </w:rPr>
              <w:t>Voir Annexe 5 pour plus de détails.</w:t>
            </w:r>
          </w:p>
        </w:tc>
      </w:tr>
      <w:tr w:rsidR="0046607B" w14:paraId="31A64B77" w14:textId="77777777" w:rsidTr="30D9C7BE">
        <w:trPr>
          <w:trHeight w:val="450"/>
        </w:trPr>
        <w:tc>
          <w:tcPr>
            <w:tcW w:w="1560" w:type="dxa"/>
            <w:vAlign w:val="center"/>
          </w:tcPr>
          <w:p w14:paraId="0BC8330C" w14:textId="77777777" w:rsidR="0046607B" w:rsidRPr="009404C2" w:rsidRDefault="0046607B" w:rsidP="009404C2">
            <w:pPr>
              <w:jc w:val="center"/>
              <w:rPr>
                <w:b/>
                <w:bCs/>
              </w:rPr>
            </w:pPr>
            <w:r w:rsidRPr="009404C2">
              <w:rPr>
                <w:b/>
                <w:bCs/>
              </w:rPr>
              <w:lastRenderedPageBreak/>
              <w:t>Action(s) associée(s)</w:t>
            </w:r>
          </w:p>
        </w:tc>
        <w:tc>
          <w:tcPr>
            <w:tcW w:w="8505" w:type="dxa"/>
            <w:vAlign w:val="center"/>
          </w:tcPr>
          <w:p w14:paraId="1A5B0A49" w14:textId="5EA7A03D" w:rsidR="00430FE5" w:rsidRPr="00207F4D" w:rsidRDefault="631F6EF0" w:rsidP="00207F4D">
            <w:pPr>
              <w:rPr>
                <w:b/>
                <w:bCs/>
              </w:rPr>
            </w:pPr>
            <w:r w:rsidRPr="00207F4D">
              <w:rPr>
                <w:b/>
                <w:bCs/>
              </w:rPr>
              <w:t xml:space="preserve">Axe 2 </w:t>
            </w:r>
            <w:r w:rsidR="00207F4D" w:rsidRPr="00207F4D">
              <w:rPr>
                <w:b/>
                <w:bCs/>
              </w:rPr>
              <w:t xml:space="preserve">- </w:t>
            </w:r>
            <w:r w:rsidRPr="00207F4D">
              <w:rPr>
                <w:b/>
                <w:bCs/>
              </w:rPr>
              <w:t>action</w:t>
            </w:r>
            <w:r w:rsidR="00207F4D" w:rsidRPr="00207F4D">
              <w:rPr>
                <w:b/>
                <w:bCs/>
              </w:rPr>
              <w:t>s</w:t>
            </w:r>
            <w:r w:rsidRPr="00207F4D">
              <w:rPr>
                <w:b/>
                <w:bCs/>
              </w:rPr>
              <w:t xml:space="preserve"> 2 et 3</w:t>
            </w:r>
          </w:p>
        </w:tc>
      </w:tr>
      <w:tr w:rsidR="0046607B" w14:paraId="1A7A76D2" w14:textId="77777777" w:rsidTr="30D9C7BE">
        <w:tc>
          <w:tcPr>
            <w:tcW w:w="1560" w:type="dxa"/>
            <w:vAlign w:val="center"/>
          </w:tcPr>
          <w:p w14:paraId="53A9EFDE" w14:textId="77777777" w:rsidR="0046607B" w:rsidRPr="009404C2" w:rsidRDefault="0046607B" w:rsidP="009404C2">
            <w:pPr>
              <w:jc w:val="center"/>
              <w:rPr>
                <w:b/>
                <w:bCs/>
              </w:rPr>
            </w:pPr>
            <w:r w:rsidRPr="009404C2">
              <w:rPr>
                <w:b/>
                <w:bCs/>
              </w:rPr>
              <w:t>Indicateurs de résultats</w:t>
            </w:r>
          </w:p>
        </w:tc>
        <w:tc>
          <w:tcPr>
            <w:tcW w:w="8505" w:type="dxa"/>
          </w:tcPr>
          <w:p w14:paraId="3588025F" w14:textId="4EB4CB77" w:rsidR="009404C2" w:rsidRDefault="631F6EF0" w:rsidP="00207F4D">
            <w:pPr>
              <w:pStyle w:val="Paragraphedeliste"/>
              <w:numPr>
                <w:ilvl w:val="0"/>
                <w:numId w:val="16"/>
              </w:numPr>
            </w:pPr>
            <w:r>
              <w:t>Nombre de personne à qui l’information a été diffusée</w:t>
            </w:r>
          </w:p>
          <w:p w14:paraId="34896309" w14:textId="50C32BDA" w:rsidR="009404C2" w:rsidRDefault="631F6EF0" w:rsidP="631F6EF0">
            <w:pPr>
              <w:pStyle w:val="Paragraphedeliste"/>
              <w:numPr>
                <w:ilvl w:val="0"/>
                <w:numId w:val="1"/>
              </w:numPr>
            </w:pPr>
            <w:r>
              <w:t xml:space="preserve">Accès aux documents </w:t>
            </w:r>
            <w:r w:rsidR="002B6EA5">
              <w:t xml:space="preserve">existants et </w:t>
            </w:r>
            <w:r>
              <w:t xml:space="preserve">en cours de rédaction </w:t>
            </w:r>
          </w:p>
          <w:p w14:paraId="4B0BB062" w14:textId="49A8BFFF" w:rsidR="009404C2" w:rsidRDefault="631F6EF0" w:rsidP="00906905">
            <w:pPr>
              <w:pStyle w:val="Paragraphedeliste"/>
              <w:numPr>
                <w:ilvl w:val="0"/>
                <w:numId w:val="1"/>
              </w:numPr>
            </w:pPr>
            <w:r>
              <w:t>Mise à jour des données s’il y a une évolution des statuts de la MSA</w:t>
            </w:r>
          </w:p>
        </w:tc>
      </w:tr>
      <w:tr w:rsidR="0046607B" w14:paraId="7A25EBB5" w14:textId="77777777" w:rsidTr="30D9C7BE">
        <w:tc>
          <w:tcPr>
            <w:tcW w:w="1560" w:type="dxa"/>
            <w:vAlign w:val="center"/>
          </w:tcPr>
          <w:p w14:paraId="672D1A3F" w14:textId="77777777" w:rsidR="0046607B" w:rsidRPr="009404C2" w:rsidRDefault="0046607B" w:rsidP="009404C2">
            <w:pPr>
              <w:jc w:val="center"/>
              <w:rPr>
                <w:b/>
                <w:bCs/>
              </w:rPr>
            </w:pPr>
            <w:r w:rsidRPr="009404C2">
              <w:rPr>
                <w:b/>
                <w:bCs/>
              </w:rPr>
              <w:t>Echelle(s) de travail</w:t>
            </w:r>
          </w:p>
        </w:tc>
        <w:tc>
          <w:tcPr>
            <w:tcW w:w="8505" w:type="dxa"/>
            <w:vAlign w:val="center"/>
          </w:tcPr>
          <w:p w14:paraId="4854D96C" w14:textId="4DE37C6A" w:rsidR="009404C2" w:rsidRDefault="631F6EF0" w:rsidP="002A638D">
            <w:r>
              <w:t>Région Grand Est</w:t>
            </w:r>
          </w:p>
        </w:tc>
      </w:tr>
      <w:tr w:rsidR="0046607B" w14:paraId="14536EE1" w14:textId="77777777" w:rsidTr="30D9C7BE">
        <w:tc>
          <w:tcPr>
            <w:tcW w:w="1560" w:type="dxa"/>
            <w:vAlign w:val="center"/>
          </w:tcPr>
          <w:p w14:paraId="1BD0790A" w14:textId="77777777" w:rsidR="0046607B" w:rsidRPr="009404C2" w:rsidRDefault="0046607B" w:rsidP="009404C2">
            <w:pPr>
              <w:jc w:val="center"/>
              <w:rPr>
                <w:b/>
                <w:bCs/>
              </w:rPr>
            </w:pPr>
            <w:r w:rsidRPr="009404C2">
              <w:rPr>
                <w:b/>
                <w:bCs/>
              </w:rPr>
              <w:t>Evaluation financière</w:t>
            </w:r>
          </w:p>
        </w:tc>
        <w:tc>
          <w:tcPr>
            <w:tcW w:w="8505" w:type="dxa"/>
            <w:vAlign w:val="center"/>
          </w:tcPr>
          <w:p w14:paraId="27C038E5" w14:textId="3AC2D89D" w:rsidR="009404C2" w:rsidRDefault="00FA47DB" w:rsidP="002A638D">
            <w:r>
              <w:t xml:space="preserve">Financement déjà existant (Région Grand </w:t>
            </w:r>
            <w:r w:rsidR="00504D84">
              <w:t>E</w:t>
            </w:r>
            <w:r>
              <w:t>st)</w:t>
            </w:r>
          </w:p>
        </w:tc>
      </w:tr>
      <w:tr w:rsidR="0046607B" w14:paraId="6294C436" w14:textId="77777777" w:rsidTr="30D9C7BE">
        <w:tc>
          <w:tcPr>
            <w:tcW w:w="1560" w:type="dxa"/>
            <w:vAlign w:val="center"/>
          </w:tcPr>
          <w:p w14:paraId="5FD15E5D" w14:textId="77777777" w:rsidR="0046607B" w:rsidRPr="009404C2" w:rsidRDefault="0046607B" w:rsidP="009404C2">
            <w:pPr>
              <w:jc w:val="center"/>
              <w:rPr>
                <w:b/>
                <w:bCs/>
              </w:rPr>
            </w:pPr>
            <w:r w:rsidRPr="009404C2">
              <w:rPr>
                <w:b/>
                <w:bCs/>
              </w:rPr>
              <w:t>Pilote(s) de l’action</w:t>
            </w:r>
          </w:p>
        </w:tc>
        <w:tc>
          <w:tcPr>
            <w:tcW w:w="8505" w:type="dxa"/>
            <w:vAlign w:val="center"/>
          </w:tcPr>
          <w:p w14:paraId="7E1E1190" w14:textId="519F0A45" w:rsidR="009404C2" w:rsidRDefault="00982571" w:rsidP="002A638D">
            <w:r>
              <w:t>ADA Grand Est</w:t>
            </w:r>
            <w:r w:rsidR="00A64F51">
              <w:t xml:space="preserve">, </w:t>
            </w:r>
            <w:r>
              <w:t>FRSEA</w:t>
            </w:r>
            <w:r w:rsidR="00A64F51">
              <w:t>,</w:t>
            </w:r>
            <w:r w:rsidR="00CD703F">
              <w:t xml:space="preserve"> CRAGE,</w:t>
            </w:r>
            <w:r w:rsidR="00A64F51">
              <w:t xml:space="preserve"> </w:t>
            </w:r>
            <w:r>
              <w:t>DRAAF</w:t>
            </w:r>
          </w:p>
        </w:tc>
      </w:tr>
      <w:tr w:rsidR="0046607B" w14:paraId="0F11D460" w14:textId="77777777" w:rsidTr="30D9C7BE">
        <w:tc>
          <w:tcPr>
            <w:tcW w:w="1560" w:type="dxa"/>
            <w:vAlign w:val="center"/>
          </w:tcPr>
          <w:p w14:paraId="0038320C" w14:textId="77777777" w:rsidR="0046607B" w:rsidRPr="009404C2" w:rsidRDefault="0046607B" w:rsidP="009404C2">
            <w:pPr>
              <w:jc w:val="center"/>
              <w:rPr>
                <w:b/>
                <w:bCs/>
              </w:rPr>
            </w:pPr>
            <w:r w:rsidRPr="009404C2">
              <w:rPr>
                <w:b/>
                <w:bCs/>
              </w:rPr>
              <w:t>Partenaires potentiels</w:t>
            </w:r>
          </w:p>
        </w:tc>
        <w:tc>
          <w:tcPr>
            <w:tcW w:w="8505" w:type="dxa"/>
            <w:vAlign w:val="center"/>
          </w:tcPr>
          <w:p w14:paraId="06E4B574" w14:textId="786B9EBB" w:rsidR="009404C2" w:rsidRDefault="00982571" w:rsidP="002A638D">
            <w:r>
              <w:t>FRAGE</w:t>
            </w:r>
            <w:r w:rsidR="00261397">
              <w:t xml:space="preserve">, </w:t>
            </w:r>
            <w:r>
              <w:t>associations syndicales</w:t>
            </w:r>
            <w:r w:rsidR="00CD703F">
              <w:t xml:space="preserve"> locales</w:t>
            </w:r>
            <w:r w:rsidR="00DB127B">
              <w:t>, Région Grand Est</w:t>
            </w:r>
          </w:p>
        </w:tc>
      </w:tr>
      <w:bookmarkEnd w:id="0"/>
    </w:tbl>
    <w:p w14:paraId="3D58B185" w14:textId="77777777" w:rsidR="00F805B9" w:rsidRDefault="00F805B9" w:rsidP="009404C2"/>
    <w:p w14:paraId="7243B151" w14:textId="77777777" w:rsidR="006C7255" w:rsidRDefault="006C7255" w:rsidP="009404C2"/>
    <w:p w14:paraId="3CE5B947" w14:textId="56C32F20" w:rsidR="00347F11" w:rsidRPr="00347F11" w:rsidRDefault="00347F11" w:rsidP="009404C2"/>
    <w:p w14:paraId="304E9443" w14:textId="38A862C2" w:rsidR="00347F11" w:rsidRPr="00347F11" w:rsidRDefault="00347F11" w:rsidP="009404C2"/>
    <w:p w14:paraId="22842073" w14:textId="2A52B126" w:rsidR="00347F11" w:rsidRPr="00347F11" w:rsidRDefault="00347F11" w:rsidP="009404C2"/>
    <w:p w14:paraId="6B2C24F0" w14:textId="23B542C7" w:rsidR="00347F11" w:rsidRPr="00347F11" w:rsidRDefault="00347F11" w:rsidP="009404C2"/>
    <w:p w14:paraId="4A9E481E" w14:textId="7A0E51CA" w:rsidR="00347F11" w:rsidRPr="00347F11" w:rsidRDefault="00347F11" w:rsidP="009404C2"/>
    <w:p w14:paraId="68B2E58B" w14:textId="12B79B8A" w:rsidR="00347F11" w:rsidRPr="00347F11" w:rsidRDefault="00347F11" w:rsidP="009404C2"/>
    <w:p w14:paraId="4AA6AC1D" w14:textId="7CA92B5A" w:rsidR="00347F11" w:rsidRPr="00347F11" w:rsidRDefault="00347F11" w:rsidP="009404C2">
      <w:pPr>
        <w:rPr>
          <w:lang w:val="fr"/>
        </w:rPr>
      </w:pPr>
    </w:p>
    <w:sectPr w:rsidR="00347F11" w:rsidRPr="00347F11" w:rsidSect="00347F11">
      <w:pgSz w:w="11906" w:h="16838"/>
      <w:pgMar w:top="1417" w:right="1417"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A345B" w14:textId="77777777" w:rsidR="007B157B" w:rsidRDefault="007B157B" w:rsidP="00347F11">
      <w:pPr>
        <w:spacing w:after="0" w:line="240" w:lineRule="auto"/>
      </w:pPr>
      <w:r>
        <w:separator/>
      </w:r>
    </w:p>
  </w:endnote>
  <w:endnote w:type="continuationSeparator" w:id="0">
    <w:p w14:paraId="6B350A64" w14:textId="77777777" w:rsidR="007B157B" w:rsidRDefault="007B157B" w:rsidP="00347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777B8" w14:textId="77777777" w:rsidR="007B157B" w:rsidRDefault="007B157B" w:rsidP="00347F11">
      <w:pPr>
        <w:spacing w:after="0" w:line="240" w:lineRule="auto"/>
      </w:pPr>
      <w:r>
        <w:separator/>
      </w:r>
    </w:p>
  </w:footnote>
  <w:footnote w:type="continuationSeparator" w:id="0">
    <w:p w14:paraId="50084FA6" w14:textId="77777777" w:rsidR="007B157B" w:rsidRDefault="007B157B" w:rsidP="00347F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1074E"/>
    <w:multiLevelType w:val="hybridMultilevel"/>
    <w:tmpl w:val="CDDE40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99E053D"/>
    <w:multiLevelType w:val="hybridMultilevel"/>
    <w:tmpl w:val="B5ECD04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9A6BF7"/>
    <w:multiLevelType w:val="hybridMultilevel"/>
    <w:tmpl w:val="97DC60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55C0382"/>
    <w:multiLevelType w:val="multilevel"/>
    <w:tmpl w:val="829AC5C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15:restartNumberingAfterBreak="0">
    <w:nsid w:val="26C62AD5"/>
    <w:multiLevelType w:val="hybridMultilevel"/>
    <w:tmpl w:val="DE3E9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BE3570"/>
    <w:multiLevelType w:val="multilevel"/>
    <w:tmpl w:val="B540FB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2D886962"/>
    <w:multiLevelType w:val="hybridMultilevel"/>
    <w:tmpl w:val="F800A2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B147D5"/>
    <w:multiLevelType w:val="multilevel"/>
    <w:tmpl w:val="FCBC78A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34CF3896"/>
    <w:multiLevelType w:val="hybridMultilevel"/>
    <w:tmpl w:val="218EB5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4F1C2E"/>
    <w:multiLevelType w:val="hybridMultilevel"/>
    <w:tmpl w:val="4A782B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4AA168D"/>
    <w:multiLevelType w:val="hybridMultilevel"/>
    <w:tmpl w:val="FD4C0222"/>
    <w:lvl w:ilvl="0" w:tplc="3C028F9C">
      <w:start w:val="1"/>
      <w:numFmt w:val="bullet"/>
      <w:lvlText w:val=""/>
      <w:lvlJc w:val="left"/>
      <w:pPr>
        <w:ind w:left="720" w:hanging="360"/>
      </w:pPr>
      <w:rPr>
        <w:rFonts w:ascii="Symbol" w:hAnsi="Symbol" w:hint="default"/>
      </w:rPr>
    </w:lvl>
    <w:lvl w:ilvl="1" w:tplc="C818E456">
      <w:start w:val="1"/>
      <w:numFmt w:val="bullet"/>
      <w:lvlText w:val="o"/>
      <w:lvlJc w:val="left"/>
      <w:pPr>
        <w:ind w:left="1440" w:hanging="360"/>
      </w:pPr>
      <w:rPr>
        <w:rFonts w:ascii="Courier New" w:hAnsi="Courier New" w:hint="default"/>
      </w:rPr>
    </w:lvl>
    <w:lvl w:ilvl="2" w:tplc="5C5EDDAE">
      <w:start w:val="1"/>
      <w:numFmt w:val="bullet"/>
      <w:lvlText w:val=""/>
      <w:lvlJc w:val="left"/>
      <w:pPr>
        <w:ind w:left="2160" w:hanging="360"/>
      </w:pPr>
      <w:rPr>
        <w:rFonts w:ascii="Wingdings" w:hAnsi="Wingdings" w:hint="default"/>
      </w:rPr>
    </w:lvl>
    <w:lvl w:ilvl="3" w:tplc="EAA8CF24">
      <w:start w:val="1"/>
      <w:numFmt w:val="bullet"/>
      <w:lvlText w:val=""/>
      <w:lvlJc w:val="left"/>
      <w:pPr>
        <w:ind w:left="2880" w:hanging="360"/>
      </w:pPr>
      <w:rPr>
        <w:rFonts w:ascii="Symbol" w:hAnsi="Symbol" w:hint="default"/>
      </w:rPr>
    </w:lvl>
    <w:lvl w:ilvl="4" w:tplc="31CE2280">
      <w:start w:val="1"/>
      <w:numFmt w:val="bullet"/>
      <w:lvlText w:val="o"/>
      <w:lvlJc w:val="left"/>
      <w:pPr>
        <w:ind w:left="3600" w:hanging="360"/>
      </w:pPr>
      <w:rPr>
        <w:rFonts w:ascii="Courier New" w:hAnsi="Courier New" w:hint="default"/>
      </w:rPr>
    </w:lvl>
    <w:lvl w:ilvl="5" w:tplc="D32CCD4A">
      <w:start w:val="1"/>
      <w:numFmt w:val="bullet"/>
      <w:lvlText w:val=""/>
      <w:lvlJc w:val="left"/>
      <w:pPr>
        <w:ind w:left="4320" w:hanging="360"/>
      </w:pPr>
      <w:rPr>
        <w:rFonts w:ascii="Wingdings" w:hAnsi="Wingdings" w:hint="default"/>
      </w:rPr>
    </w:lvl>
    <w:lvl w:ilvl="6" w:tplc="05E436C6">
      <w:start w:val="1"/>
      <w:numFmt w:val="bullet"/>
      <w:lvlText w:val=""/>
      <w:lvlJc w:val="left"/>
      <w:pPr>
        <w:ind w:left="5040" w:hanging="360"/>
      </w:pPr>
      <w:rPr>
        <w:rFonts w:ascii="Symbol" w:hAnsi="Symbol" w:hint="default"/>
      </w:rPr>
    </w:lvl>
    <w:lvl w:ilvl="7" w:tplc="9BD0FD0C">
      <w:start w:val="1"/>
      <w:numFmt w:val="bullet"/>
      <w:lvlText w:val="o"/>
      <w:lvlJc w:val="left"/>
      <w:pPr>
        <w:ind w:left="5760" w:hanging="360"/>
      </w:pPr>
      <w:rPr>
        <w:rFonts w:ascii="Courier New" w:hAnsi="Courier New" w:hint="default"/>
      </w:rPr>
    </w:lvl>
    <w:lvl w:ilvl="8" w:tplc="65D2C36E">
      <w:start w:val="1"/>
      <w:numFmt w:val="bullet"/>
      <w:lvlText w:val=""/>
      <w:lvlJc w:val="left"/>
      <w:pPr>
        <w:ind w:left="6480" w:hanging="360"/>
      </w:pPr>
      <w:rPr>
        <w:rFonts w:ascii="Wingdings" w:hAnsi="Wingdings" w:hint="default"/>
      </w:rPr>
    </w:lvl>
  </w:abstractNum>
  <w:abstractNum w:abstractNumId="11" w15:restartNumberingAfterBreak="0">
    <w:nsid w:val="47F36C40"/>
    <w:multiLevelType w:val="multilevel"/>
    <w:tmpl w:val="5F5A5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1753FC6"/>
    <w:multiLevelType w:val="hybridMultilevel"/>
    <w:tmpl w:val="C4241C80"/>
    <w:lvl w:ilvl="0" w:tplc="F9D61726">
      <w:start w:val="3"/>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9D976D0"/>
    <w:multiLevelType w:val="hybridMultilevel"/>
    <w:tmpl w:val="CA5E10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C3579EC"/>
    <w:multiLevelType w:val="multilevel"/>
    <w:tmpl w:val="665C57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74B806C9"/>
    <w:multiLevelType w:val="hybridMultilevel"/>
    <w:tmpl w:val="E67A9CFC"/>
    <w:lvl w:ilvl="0" w:tplc="074E9F0A">
      <w:numFmt w:val="bullet"/>
      <w:lvlText w:val="-"/>
      <w:lvlJc w:val="left"/>
      <w:pPr>
        <w:ind w:left="720" w:hanging="360"/>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6886746">
    <w:abstractNumId w:val="10"/>
  </w:num>
  <w:num w:numId="2" w16cid:durableId="1769887496">
    <w:abstractNumId w:val="6"/>
  </w:num>
  <w:num w:numId="3" w16cid:durableId="1863321778">
    <w:abstractNumId w:val="11"/>
  </w:num>
  <w:num w:numId="4" w16cid:durableId="583225171">
    <w:abstractNumId w:val="2"/>
  </w:num>
  <w:num w:numId="5" w16cid:durableId="599991298">
    <w:abstractNumId w:val="3"/>
  </w:num>
  <w:num w:numId="6" w16cid:durableId="1655645409">
    <w:abstractNumId w:val="7"/>
  </w:num>
  <w:num w:numId="7" w16cid:durableId="21133199">
    <w:abstractNumId w:val="14"/>
  </w:num>
  <w:num w:numId="8" w16cid:durableId="1305817406">
    <w:abstractNumId w:val="5"/>
  </w:num>
  <w:num w:numId="9" w16cid:durableId="1681279554">
    <w:abstractNumId w:val="12"/>
  </w:num>
  <w:num w:numId="10" w16cid:durableId="406073917">
    <w:abstractNumId w:val="8"/>
  </w:num>
  <w:num w:numId="11" w16cid:durableId="1006905651">
    <w:abstractNumId w:val="13"/>
  </w:num>
  <w:num w:numId="12" w16cid:durableId="1963685797">
    <w:abstractNumId w:val="0"/>
  </w:num>
  <w:num w:numId="13" w16cid:durableId="846595365">
    <w:abstractNumId w:val="1"/>
  </w:num>
  <w:num w:numId="14" w16cid:durableId="242574340">
    <w:abstractNumId w:val="9"/>
  </w:num>
  <w:num w:numId="15" w16cid:durableId="810168817">
    <w:abstractNumId w:val="15"/>
  </w:num>
  <w:num w:numId="16" w16cid:durableId="18645141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979"/>
    <w:rsid w:val="00031A98"/>
    <w:rsid w:val="00060EBE"/>
    <w:rsid w:val="000B41E5"/>
    <w:rsid w:val="000B4722"/>
    <w:rsid w:val="000C764F"/>
    <w:rsid w:val="000E3EC0"/>
    <w:rsid w:val="00111B19"/>
    <w:rsid w:val="001613BC"/>
    <w:rsid w:val="001633EB"/>
    <w:rsid w:val="00163969"/>
    <w:rsid w:val="001C0C13"/>
    <w:rsid w:val="00207F4D"/>
    <w:rsid w:val="002336A7"/>
    <w:rsid w:val="00261397"/>
    <w:rsid w:val="00262DA7"/>
    <w:rsid w:val="002706BA"/>
    <w:rsid w:val="002742D5"/>
    <w:rsid w:val="002A638D"/>
    <w:rsid w:val="002B6EA5"/>
    <w:rsid w:val="002C7F9F"/>
    <w:rsid w:val="002D45DE"/>
    <w:rsid w:val="002F2D29"/>
    <w:rsid w:val="00324C8A"/>
    <w:rsid w:val="00347F11"/>
    <w:rsid w:val="00360B50"/>
    <w:rsid w:val="003829A9"/>
    <w:rsid w:val="003831DC"/>
    <w:rsid w:val="003A0775"/>
    <w:rsid w:val="003A3D73"/>
    <w:rsid w:val="003A4A27"/>
    <w:rsid w:val="003B0797"/>
    <w:rsid w:val="003E5B32"/>
    <w:rsid w:val="003F1202"/>
    <w:rsid w:val="003F3E7C"/>
    <w:rsid w:val="003F7737"/>
    <w:rsid w:val="00430FE5"/>
    <w:rsid w:val="00447862"/>
    <w:rsid w:val="0046607B"/>
    <w:rsid w:val="00471108"/>
    <w:rsid w:val="004B4464"/>
    <w:rsid w:val="004C4231"/>
    <w:rsid w:val="004E3E46"/>
    <w:rsid w:val="004F0A44"/>
    <w:rsid w:val="00504D84"/>
    <w:rsid w:val="0052769E"/>
    <w:rsid w:val="005A6E9A"/>
    <w:rsid w:val="005B028C"/>
    <w:rsid w:val="00611CA4"/>
    <w:rsid w:val="0061649B"/>
    <w:rsid w:val="00634A5A"/>
    <w:rsid w:val="006A67C8"/>
    <w:rsid w:val="006C7255"/>
    <w:rsid w:val="006E0A08"/>
    <w:rsid w:val="006E4AC9"/>
    <w:rsid w:val="006E72E6"/>
    <w:rsid w:val="006F6508"/>
    <w:rsid w:val="006F7BED"/>
    <w:rsid w:val="00733892"/>
    <w:rsid w:val="00736BB4"/>
    <w:rsid w:val="00771FE1"/>
    <w:rsid w:val="00786A52"/>
    <w:rsid w:val="007B157B"/>
    <w:rsid w:val="007F3EC3"/>
    <w:rsid w:val="008060D2"/>
    <w:rsid w:val="008370C0"/>
    <w:rsid w:val="00885DAA"/>
    <w:rsid w:val="0089472C"/>
    <w:rsid w:val="008B2601"/>
    <w:rsid w:val="008F2676"/>
    <w:rsid w:val="008F6D62"/>
    <w:rsid w:val="00930CCF"/>
    <w:rsid w:val="00933516"/>
    <w:rsid w:val="00933EFD"/>
    <w:rsid w:val="00934B46"/>
    <w:rsid w:val="009404C2"/>
    <w:rsid w:val="00944E5B"/>
    <w:rsid w:val="00982571"/>
    <w:rsid w:val="009D0232"/>
    <w:rsid w:val="009D1D9F"/>
    <w:rsid w:val="009F0979"/>
    <w:rsid w:val="00A378F1"/>
    <w:rsid w:val="00A64F51"/>
    <w:rsid w:val="00A912EB"/>
    <w:rsid w:val="00A9333E"/>
    <w:rsid w:val="00A94E3F"/>
    <w:rsid w:val="00AE3201"/>
    <w:rsid w:val="00B019D6"/>
    <w:rsid w:val="00B41149"/>
    <w:rsid w:val="00B42B78"/>
    <w:rsid w:val="00B56E2F"/>
    <w:rsid w:val="00B70A2B"/>
    <w:rsid w:val="00B72C05"/>
    <w:rsid w:val="00BA37C0"/>
    <w:rsid w:val="00BA52E1"/>
    <w:rsid w:val="00C301AD"/>
    <w:rsid w:val="00C93E5E"/>
    <w:rsid w:val="00CA7748"/>
    <w:rsid w:val="00CB74CB"/>
    <w:rsid w:val="00CC2A18"/>
    <w:rsid w:val="00CC3160"/>
    <w:rsid w:val="00CD0813"/>
    <w:rsid w:val="00CD6436"/>
    <w:rsid w:val="00CD703F"/>
    <w:rsid w:val="00D31AFC"/>
    <w:rsid w:val="00D4667D"/>
    <w:rsid w:val="00D574DD"/>
    <w:rsid w:val="00D74F6A"/>
    <w:rsid w:val="00D85349"/>
    <w:rsid w:val="00D85FC5"/>
    <w:rsid w:val="00D95013"/>
    <w:rsid w:val="00DB127B"/>
    <w:rsid w:val="00DB5475"/>
    <w:rsid w:val="00E063E2"/>
    <w:rsid w:val="00E42090"/>
    <w:rsid w:val="00E50592"/>
    <w:rsid w:val="00E5725C"/>
    <w:rsid w:val="00E638F1"/>
    <w:rsid w:val="00EB664A"/>
    <w:rsid w:val="00EC6002"/>
    <w:rsid w:val="00EC6416"/>
    <w:rsid w:val="00EC7635"/>
    <w:rsid w:val="00EF5AEC"/>
    <w:rsid w:val="00F01F3C"/>
    <w:rsid w:val="00F1546D"/>
    <w:rsid w:val="00F21695"/>
    <w:rsid w:val="00F22962"/>
    <w:rsid w:val="00F805B9"/>
    <w:rsid w:val="00F95E51"/>
    <w:rsid w:val="00FA47DB"/>
    <w:rsid w:val="00FC720A"/>
    <w:rsid w:val="30D9C7BE"/>
    <w:rsid w:val="631F6E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C6DC5"/>
  <w15:chartTrackingRefBased/>
  <w15:docId w15:val="{BE3B260F-3414-47F0-BE9A-F778E218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B"/>
  </w:style>
  <w:style w:type="paragraph" w:styleId="Titre1">
    <w:name w:val="heading 1"/>
    <w:basedOn w:val="Normal"/>
    <w:next w:val="Normal"/>
    <w:link w:val="Titre1Car"/>
    <w:uiPriority w:val="9"/>
    <w:qFormat/>
    <w:rsid w:val="009F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9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9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9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9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9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9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9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9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9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9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9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9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9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9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9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979"/>
    <w:rPr>
      <w:rFonts w:eastAsiaTheme="majorEastAsia" w:cstheme="majorBidi"/>
      <w:color w:val="272727" w:themeColor="text1" w:themeTint="D8"/>
    </w:rPr>
  </w:style>
  <w:style w:type="paragraph" w:styleId="Titre">
    <w:name w:val="Title"/>
    <w:basedOn w:val="Normal"/>
    <w:next w:val="Normal"/>
    <w:link w:val="TitreCar"/>
    <w:uiPriority w:val="10"/>
    <w:qFormat/>
    <w:rsid w:val="009F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9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97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9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979"/>
    <w:pPr>
      <w:spacing w:before="160"/>
      <w:jc w:val="center"/>
    </w:pPr>
    <w:rPr>
      <w:i/>
      <w:iCs/>
      <w:color w:val="404040" w:themeColor="text1" w:themeTint="BF"/>
    </w:rPr>
  </w:style>
  <w:style w:type="character" w:customStyle="1" w:styleId="CitationCar">
    <w:name w:val="Citation Car"/>
    <w:basedOn w:val="Policepardfaut"/>
    <w:link w:val="Citation"/>
    <w:uiPriority w:val="29"/>
    <w:rsid w:val="009F0979"/>
    <w:rPr>
      <w:i/>
      <w:iCs/>
      <w:color w:val="404040" w:themeColor="text1" w:themeTint="BF"/>
    </w:rPr>
  </w:style>
  <w:style w:type="paragraph" w:styleId="Paragraphedeliste">
    <w:name w:val="List Paragraph"/>
    <w:basedOn w:val="Normal"/>
    <w:uiPriority w:val="34"/>
    <w:qFormat/>
    <w:rsid w:val="009F0979"/>
    <w:pPr>
      <w:ind w:left="720"/>
      <w:contextualSpacing/>
    </w:pPr>
  </w:style>
  <w:style w:type="character" w:styleId="Accentuationintense">
    <w:name w:val="Intense Emphasis"/>
    <w:basedOn w:val="Policepardfaut"/>
    <w:uiPriority w:val="21"/>
    <w:qFormat/>
    <w:rsid w:val="009F0979"/>
    <w:rPr>
      <w:i/>
      <w:iCs/>
      <w:color w:val="0F4761" w:themeColor="accent1" w:themeShade="BF"/>
    </w:rPr>
  </w:style>
  <w:style w:type="paragraph" w:styleId="Citationintense">
    <w:name w:val="Intense Quote"/>
    <w:basedOn w:val="Normal"/>
    <w:next w:val="Normal"/>
    <w:link w:val="CitationintenseCar"/>
    <w:uiPriority w:val="30"/>
    <w:qFormat/>
    <w:rsid w:val="009F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979"/>
    <w:rPr>
      <w:i/>
      <w:iCs/>
      <w:color w:val="0F4761" w:themeColor="accent1" w:themeShade="BF"/>
    </w:rPr>
  </w:style>
  <w:style w:type="character" w:styleId="Rfrenceintense">
    <w:name w:val="Intense Reference"/>
    <w:basedOn w:val="Policepardfaut"/>
    <w:uiPriority w:val="32"/>
    <w:qFormat/>
    <w:rsid w:val="009F0979"/>
    <w:rPr>
      <w:b/>
      <w:bCs/>
      <w:smallCaps/>
      <w:color w:val="0F4761" w:themeColor="accent1" w:themeShade="BF"/>
      <w:spacing w:val="5"/>
    </w:rPr>
  </w:style>
  <w:style w:type="table" w:styleId="Grilledutableau">
    <w:name w:val="Table Grid"/>
    <w:basedOn w:val="TableauNormal"/>
    <w:uiPriority w:val="39"/>
    <w:rsid w:val="0046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rsid w:val="00D4667D"/>
    <w:pPr>
      <w:spacing w:after="0" w:line="240" w:lineRule="auto"/>
    </w:pPr>
    <w:rPr>
      <w:rFonts w:ascii="Arial" w:eastAsia="Arial" w:hAnsi="Arial" w:cs="Arial"/>
      <w:kern w:val="0"/>
      <w:sz w:val="20"/>
      <w:szCs w:val="20"/>
      <w:lang w:val="fr" w:eastAsia="fr-FR"/>
      <w14:ligatures w14:val="none"/>
    </w:rPr>
  </w:style>
  <w:style w:type="character" w:customStyle="1" w:styleId="CommentaireCar">
    <w:name w:val="Commentaire Car"/>
    <w:basedOn w:val="Policepardfaut"/>
    <w:link w:val="Commentaire"/>
    <w:uiPriority w:val="99"/>
    <w:rsid w:val="00D4667D"/>
    <w:rPr>
      <w:rFonts w:ascii="Arial" w:eastAsia="Arial" w:hAnsi="Arial" w:cs="Arial"/>
      <w:kern w:val="0"/>
      <w:sz w:val="20"/>
      <w:szCs w:val="20"/>
      <w:lang w:val="fr" w:eastAsia="fr-FR"/>
      <w14:ligatures w14:val="none"/>
    </w:rPr>
  </w:style>
  <w:style w:type="character" w:styleId="Marquedecommentaire">
    <w:name w:val="annotation reference"/>
    <w:basedOn w:val="Policepardfaut"/>
    <w:uiPriority w:val="99"/>
    <w:semiHidden/>
    <w:unhideWhenUsed/>
    <w:rsid w:val="00D4667D"/>
    <w:rPr>
      <w:sz w:val="16"/>
      <w:szCs w:val="16"/>
    </w:rPr>
  </w:style>
  <w:style w:type="character" w:styleId="Lienhypertexte">
    <w:name w:val="Hyperlink"/>
    <w:basedOn w:val="Policepardfaut"/>
    <w:uiPriority w:val="99"/>
    <w:unhideWhenUsed/>
    <w:rsid w:val="004B4464"/>
    <w:rPr>
      <w:color w:val="467886" w:themeColor="hyperlink"/>
      <w:u w:val="single"/>
    </w:rPr>
  </w:style>
  <w:style w:type="character" w:customStyle="1" w:styleId="Mentionnonrsolue1">
    <w:name w:val="Mention non résolue1"/>
    <w:basedOn w:val="Policepardfaut"/>
    <w:uiPriority w:val="99"/>
    <w:semiHidden/>
    <w:unhideWhenUsed/>
    <w:rsid w:val="004B4464"/>
    <w:rPr>
      <w:color w:val="605E5C"/>
      <w:shd w:val="clear" w:color="auto" w:fill="E1DFDD"/>
    </w:rPr>
  </w:style>
  <w:style w:type="character" w:styleId="Lienhypertextesuivivisit">
    <w:name w:val="FollowedHyperlink"/>
    <w:basedOn w:val="Policepardfaut"/>
    <w:uiPriority w:val="99"/>
    <w:semiHidden/>
    <w:unhideWhenUsed/>
    <w:rsid w:val="00B41149"/>
    <w:rPr>
      <w:color w:val="96607D" w:themeColor="followedHyperlink"/>
      <w:u w:val="single"/>
    </w:rPr>
  </w:style>
  <w:style w:type="character" w:customStyle="1" w:styleId="cf01">
    <w:name w:val="cf01"/>
    <w:basedOn w:val="Policepardfaut"/>
    <w:rsid w:val="00347F11"/>
    <w:rPr>
      <w:rFonts w:ascii="Segoe UI" w:hAnsi="Segoe UI" w:cs="Segoe UI" w:hint="default"/>
      <w:sz w:val="18"/>
      <w:szCs w:val="18"/>
    </w:rPr>
  </w:style>
  <w:style w:type="paragraph" w:styleId="En-tte">
    <w:name w:val="header"/>
    <w:basedOn w:val="Normal"/>
    <w:link w:val="En-tteCar"/>
    <w:uiPriority w:val="99"/>
    <w:unhideWhenUsed/>
    <w:rsid w:val="00347F11"/>
    <w:pPr>
      <w:tabs>
        <w:tab w:val="center" w:pos="4536"/>
        <w:tab w:val="right" w:pos="9072"/>
      </w:tabs>
      <w:spacing w:after="0" w:line="240" w:lineRule="auto"/>
    </w:pPr>
  </w:style>
  <w:style w:type="character" w:customStyle="1" w:styleId="En-tteCar">
    <w:name w:val="En-tête Car"/>
    <w:basedOn w:val="Policepardfaut"/>
    <w:link w:val="En-tte"/>
    <w:uiPriority w:val="99"/>
    <w:rsid w:val="00347F11"/>
  </w:style>
  <w:style w:type="paragraph" w:styleId="Pieddepage">
    <w:name w:val="footer"/>
    <w:basedOn w:val="Normal"/>
    <w:link w:val="PieddepageCar"/>
    <w:uiPriority w:val="99"/>
    <w:unhideWhenUsed/>
    <w:rsid w:val="00347F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7F11"/>
  </w:style>
  <w:style w:type="paragraph" w:styleId="Objetducommentaire">
    <w:name w:val="annotation subject"/>
    <w:basedOn w:val="Commentaire"/>
    <w:next w:val="Commentaire"/>
    <w:link w:val="ObjetducommentaireCar"/>
    <w:uiPriority w:val="99"/>
    <w:semiHidden/>
    <w:unhideWhenUsed/>
    <w:rsid w:val="004E3E46"/>
    <w:pPr>
      <w:spacing w:after="160"/>
    </w:pPr>
    <w:rPr>
      <w:rFonts w:asciiTheme="minorHAnsi" w:eastAsiaTheme="minorHAnsi" w:hAnsiTheme="minorHAnsi" w:cstheme="minorBidi"/>
      <w:b/>
      <w:bCs/>
      <w:kern w:val="2"/>
      <w:lang w:val="fr-FR" w:eastAsia="en-US"/>
      <w14:ligatures w14:val="standardContextual"/>
    </w:rPr>
  </w:style>
  <w:style w:type="character" w:customStyle="1" w:styleId="ObjetducommentaireCar">
    <w:name w:val="Objet du commentaire Car"/>
    <w:basedOn w:val="CommentaireCar"/>
    <w:link w:val="Objetducommentaire"/>
    <w:uiPriority w:val="99"/>
    <w:semiHidden/>
    <w:rsid w:val="004E3E46"/>
    <w:rPr>
      <w:rFonts w:ascii="Arial" w:eastAsia="Arial" w:hAnsi="Arial" w:cs="Arial"/>
      <w:b/>
      <w:bCs/>
      <w:kern w:val="0"/>
      <w:sz w:val="20"/>
      <w:szCs w:val="20"/>
      <w:lang w:val="fr" w:eastAsia="fr-FR"/>
      <w14:ligatures w14:val="none"/>
    </w:rPr>
  </w:style>
  <w:style w:type="paragraph" w:styleId="Textedebulles">
    <w:name w:val="Balloon Text"/>
    <w:basedOn w:val="Normal"/>
    <w:link w:val="TextedebullesCar"/>
    <w:uiPriority w:val="99"/>
    <w:semiHidden/>
    <w:unhideWhenUsed/>
    <w:rsid w:val="004E3E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3E46"/>
    <w:rPr>
      <w:rFonts w:ascii="Segoe UI" w:hAnsi="Segoe UI" w:cs="Segoe UI"/>
      <w:sz w:val="18"/>
      <w:szCs w:val="18"/>
    </w:rPr>
  </w:style>
  <w:style w:type="paragraph" w:styleId="Rvision">
    <w:name w:val="Revision"/>
    <w:hidden/>
    <w:uiPriority w:val="99"/>
    <w:semiHidden/>
    <w:rsid w:val="009D1D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63636">
      <w:bodyDiv w:val="1"/>
      <w:marLeft w:val="0"/>
      <w:marRight w:val="0"/>
      <w:marTop w:val="0"/>
      <w:marBottom w:val="0"/>
      <w:divBdr>
        <w:top w:val="none" w:sz="0" w:space="0" w:color="auto"/>
        <w:left w:val="none" w:sz="0" w:space="0" w:color="auto"/>
        <w:bottom w:val="none" w:sz="0" w:space="0" w:color="auto"/>
        <w:right w:val="none" w:sz="0" w:space="0" w:color="auto"/>
      </w:divBdr>
    </w:div>
    <w:div w:id="925725293">
      <w:bodyDiv w:val="1"/>
      <w:marLeft w:val="0"/>
      <w:marRight w:val="0"/>
      <w:marTop w:val="0"/>
      <w:marBottom w:val="0"/>
      <w:divBdr>
        <w:top w:val="none" w:sz="0" w:space="0" w:color="auto"/>
        <w:left w:val="none" w:sz="0" w:space="0" w:color="auto"/>
        <w:bottom w:val="none" w:sz="0" w:space="0" w:color="auto"/>
        <w:right w:val="none" w:sz="0" w:space="0" w:color="auto"/>
      </w:divBdr>
    </w:div>
    <w:div w:id="113648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grand-est.org/apiculteur-grand-est/" TargetMode="External"/><Relationship Id="rId3" Type="http://schemas.openxmlformats.org/officeDocument/2006/relationships/settings" Target="settings.xml"/><Relationship Id="rId7" Type="http://schemas.openxmlformats.org/officeDocument/2006/relationships/hyperlink" Target="https://www.adafrance.org/sinstaller-en-apicultu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751</Words>
  <Characters>4134</Characters>
  <Application>Microsoft Office Word</Application>
  <DocSecurity>0</DocSecurity>
  <Lines>34</Lines>
  <Paragraphs>9</Paragraphs>
  <ScaleCrop>false</ScaleCrop>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Tonnelier ADAGE</dc:creator>
  <cp:keywords/>
  <dc:description/>
  <cp:lastModifiedBy>Mélanie CROMBECQUE</cp:lastModifiedBy>
  <cp:revision>98</cp:revision>
  <dcterms:created xsi:type="dcterms:W3CDTF">2024-07-01T10:22:00Z</dcterms:created>
  <dcterms:modified xsi:type="dcterms:W3CDTF">2024-09-17T08:56:00Z</dcterms:modified>
</cp:coreProperties>
</file>